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720" w:firstLineChars="200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36"/>
          <w:szCs w:val="36"/>
          <w:lang w:eastAsia="zh-CN"/>
        </w:rPr>
        <w:t>中小企业特色产业集群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典型案例信息汇总表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 xml:space="preserve">              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 xml:space="preserve">填报单位：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联系人及联系方式：</w:t>
      </w:r>
    </w:p>
    <w:tbl>
      <w:tblPr>
        <w:tblStyle w:val="8"/>
        <w:tblW w:w="92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057"/>
        <w:gridCol w:w="1884"/>
        <w:gridCol w:w="418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20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  <w:t>名称</w:t>
            </w:r>
          </w:p>
        </w:tc>
        <w:tc>
          <w:tcPr>
            <w:tcW w:w="18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案例方向</w:t>
            </w:r>
          </w:p>
        </w:tc>
        <w:tc>
          <w:tcPr>
            <w:tcW w:w="4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案例主要内容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0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0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0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  <w:r>
        <w:rPr>
          <w:rFonts w:hint="default" w:ascii="Times New Roman" w:hAnsi="Times New Roman" w:eastAsia="黑体" w:cs="Times New Roman"/>
          <w:sz w:val="32"/>
          <w:lang w:eastAsia="zh-CN"/>
        </w:rPr>
        <w:t>附</w:t>
      </w:r>
      <w:r>
        <w:rPr>
          <w:rFonts w:hint="eastAsia" w:ascii="Times New Roman" w:hAnsi="Times New Roman" w:eastAsia="黑体" w:cs="Times New Roman"/>
          <w:sz w:val="32"/>
          <w:lang w:eastAsia="zh-CN"/>
        </w:rPr>
        <w:t>件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28"/>
          <w:lang w:eastAsia="zh-CN"/>
        </w:rPr>
        <w:t>中小企业特色产业集群案例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集群名称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县级行政区划中小企业主管部门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案例方向</w:t>
            </w:r>
          </w:p>
          <w:p>
            <w:pPr>
              <w:pStyle w:val="2"/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  <w:t>（可选择1——3个方向，最多不超过3个）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协作共享：包括但不限于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产供销一体化协同、制造资源共享、大中小企业协同、参与先进制造业集群培育建设。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质量品牌：包括但不限于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质量诊断提升、集群品牌运营管理。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创新提升：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2"/>
                <w:lang w:val="en-US" w:eastAsia="zh-CN"/>
              </w:rPr>
              <w:t>包括但不限于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2"/>
                <w:lang w:eastAsia="zh-CN"/>
              </w:rPr>
              <w:t>大中小企业融通创新、产学研协同创新、小试中试平台建设、创新成果转化、知识产权运用维护、标准研制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数字化升级：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2"/>
                <w:lang w:eastAsia="zh-CN"/>
              </w:rPr>
              <w:t>包括但不限于数字化新模式新业态推广应用、数字化服务、工业互联网平台建设应用、集群主导产业链式数字化转型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绿色化转型：包括但不限于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能源结构优化、设备节能改造、资源综合利用、碳排放监测。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开放合作：包括但不限于引进人才、技术、资本等资源，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参与国际合作机制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和交流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活动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、促进主导产品走出去、境外合作安全风险防控。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治理服务：包括但不限于公共服务体系建设、治理机制完善、统筹集群发展、中小企业合法权益维护。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方向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  <w:t>案例题目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（题目需亮点突出、特色鲜明）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摘要：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概括案例主要内容。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一、集群基本情况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集群主导产业发展情况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行业地位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荣誉称号等。2023年，集群总产值，中小企业数量，专精特新中小企业数量，专精特新“小巨人”企业数量，制造业单项冠军数量。近三年集群中小企业主持制定国际、国家、行业标准数量，中小企业有效发明专利数量，万人发明专利拥有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二、典型做法及解决的问题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介绍创新亮点之处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、解决的问题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及推广的价值。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三、实施成效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介绍实施成效。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四、附录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2098" w:right="1474" w:bottom="1814" w:left="1587" w:header="851" w:footer="1417" w:gutter="0"/>
          <w:pgNumType w:fmt="numberInDash" w:start="10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产业图谱、工作流程图、活动照片、主导产品照片、平台界面展示等图表，图片不小于2M，单独附文件。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表格、流程图等文件请提供可编辑版本。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示例：</w:t>
      </w: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sz w:val="18"/>
          <w:szCs w:val="18"/>
          <w:lang w:val="en-US" w:eastAsia="zh-CN"/>
        </w:rPr>
      </w:pP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打好轻量化、链式化组合拳 破解集群企业数字化转型难题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摘要：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聚焦主导产业特点，以信息技改工程总承包、......等方式，破解集群中小企业缺乏数字化转型能力、......等难题，形成了“XXXXXXX”的数字化转型模式。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一、集群基本情况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集群以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为主导产业，构建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—XX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材料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—XX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—XX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产业链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产业集中度、专业化程度居全国前列，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产品市场占有率居全国领先水平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2023年，集群总产值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亿元，中小企业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专精特新中小企业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专精特新“小巨人”企业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制造业单项冠军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家。近三年集群中小企业主持制修订国家标准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项、行业标准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中小企业有效发明专利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项，万人发明专利拥有量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二、典型做法及解决的问题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一是以“工程总承包”方式，破解中小企业缺乏数字化转型能力的难题。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借鉴总承包“交钥匙”方式，遴选行业基础扎实、信息技术水平领先的工业信息工程公司作为总承包商，负责为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集群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中小企业量身定制数字化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转型方案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，包括提供技改路线、软硬件开发、系统集成、运营维护等，使中小企业在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数字化转型过程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中省心、省力、省钱。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二是以“小批量免费体验”方式，破解中小企业对数字化转型顾虑多的难题。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针对企业设备有效利用率低、产量实时统计慢、设备能耗浪费严重等N项共性问题，开发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XXX 微智造系统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成立“小批量免费体验基金”，每年进行一定数量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的免费改造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安装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，让参与企业实实在在感受数字化改造前后生产效率、产品质量、成本与能耗等方面的变化。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三、实施成效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集群量身打造了解决企业数字化转型共性问题的轻量化系统，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实现生产管理的数据化、透明化和实时化，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平均每家企业数字化转型费用控制在XX万元，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形成了“我要改、自觉改”的良好氛围。企业平均设备有效利用率提高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%，设备故障发现与处理速度提高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%以上，产品加工平均综合成本下降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%，劳动用工成本下降接近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四、附录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1.集群XX产业链图谱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2.XX系统界面展示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2098" w:right="1474" w:bottom="1814" w:left="1587" w:header="851" w:footer="1417" w:gutter="0"/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件4</w:t>
      </w:r>
    </w:p>
    <w:p>
      <w:pPr>
        <w:jc w:val="left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36"/>
          <w:szCs w:val="28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28"/>
          <w:lang w:val="en-US" w:eastAsia="zh-CN"/>
        </w:rPr>
        <w:t>中小企业特色产业集群培育举措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开展本地区中小企业特色产业集群发展促进工作的总体情况。</w:t>
      </w:r>
      <w:r>
        <w:rPr>
          <w:rFonts w:hint="eastAsia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请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凝练总结</w:t>
      </w:r>
      <w:r>
        <w:rPr>
          <w:rFonts w:hint="eastAsia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分点说明</w:t>
      </w:r>
      <w:r>
        <w:rPr>
          <w:rFonts w:hint="eastAsia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政策出台情况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概述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出台的促进中小企业特色产业集群发展政策措施，以及执行情况。</w:t>
      </w:r>
      <w:r>
        <w:rPr>
          <w:rFonts w:hint="eastAsia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请随附政策原文。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sz w:val="32"/>
          <w:szCs w:val="32"/>
          <w:lang w:val="en-US" w:eastAsia="zh-CN"/>
        </w:rPr>
        <w:t>资金支持情况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对国家级、省级中小企业特色产业集群的资金支持</w:t>
      </w:r>
      <w:r>
        <w:rPr>
          <w:rFonts w:hint="eastAsia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举措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，以及相关基金、专项资金支持情况。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sz w:val="32"/>
          <w:szCs w:val="32"/>
          <w:lang w:val="en-US" w:eastAsia="zh-CN"/>
        </w:rPr>
        <w:t>服务活动情况</w:t>
      </w:r>
    </w:p>
    <w:p>
      <w:pPr>
        <w:pStyle w:val="4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lang w:val="en-US" w:eastAsia="zh-CN"/>
        </w:rPr>
        <w:t>本地区推动中小企业特色产业集群培育工作的工作机制，以及以中小企业特色产业集群为平台开展的大中小企业协同、产业链协作、金融支持、品牌塑造、数字化绿色化转型升级、开放合作等服务活动情况。</w:t>
      </w:r>
    </w:p>
    <w:p/>
    <w:p>
      <w:pPr>
        <w:pStyle w:val="2"/>
        <w:pageBreakBefore w:val="0"/>
        <w:widowControl w:val="0"/>
        <w:kinsoku/>
        <w:wordWrap/>
        <w:overflowPunct/>
        <w:topLinePunct w:val="0"/>
        <w:bidi w:val="0"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/>
    <w:p>
      <w:bookmarkStart w:id="0" w:name="_GoBack"/>
      <w:bookmarkEnd w:id="0"/>
    </w:p>
    <w:sectPr>
      <w:footerReference r:id="rId6" w:type="default"/>
      <w:pgSz w:w="11906" w:h="16838"/>
      <w:pgMar w:top="2098" w:right="1474" w:bottom="1814" w:left="1587" w:header="851" w:footer="1417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Cascadia Mono SemiLigh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scadia Mono SemiLight">
    <w:panose1 w:val="020B0609020000020004"/>
    <w:charset w:val="00"/>
    <w:family w:val="auto"/>
    <w:pitch w:val="default"/>
    <w:sig w:usb0="A1002AFF" w:usb1="C200F9FB" w:usb2="00040020" w:usb3="00000000" w:csb0="6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ED120"/>
    <w:multiLevelType w:val="singleLevel"/>
    <w:tmpl w:val="640ED120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D047D8B"/>
    <w:rsid w:val="3711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next w:val="5"/>
    <w:uiPriority w:val="0"/>
    <w:rPr>
      <w:rFonts w:eastAsia="宋体"/>
    </w:rPr>
  </w:style>
  <w:style w:type="paragraph" w:styleId="5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标题4"/>
    <w:basedOn w:val="1"/>
    <w:next w:val="3"/>
    <w:uiPriority w:val="0"/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10379</cp:lastModifiedBy>
  <dcterms:modified xsi:type="dcterms:W3CDTF">2024-06-11T09:08:56Z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