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F5BEA6" w14:textId="77777777" w:rsidR="00014F45" w:rsidRPr="00014F45" w:rsidRDefault="00014F45" w:rsidP="00014F45">
      <w:pPr>
        <w:spacing w:line="600" w:lineRule="exact"/>
        <w:rPr>
          <w:rFonts w:ascii="Times New Roman" w:eastAsia="黑体" w:hAnsi="Times New Roman" w:cs="Times New Roman"/>
          <w:sz w:val="32"/>
          <w:szCs w:val="32"/>
        </w:rPr>
      </w:pPr>
      <w:r w:rsidRPr="00014F45">
        <w:rPr>
          <w:rFonts w:ascii="Times New Roman" w:eastAsia="黑体" w:hAnsi="Times New Roman" w:cs="Times New Roman" w:hint="eastAsia"/>
          <w:sz w:val="32"/>
          <w:szCs w:val="32"/>
        </w:rPr>
        <w:t>附件</w:t>
      </w:r>
      <w:r w:rsidRPr="00014F45">
        <w:rPr>
          <w:rFonts w:ascii="Times New Roman" w:eastAsia="黑体" w:hAnsi="Times New Roman" w:cs="Times New Roman"/>
          <w:sz w:val="32"/>
          <w:szCs w:val="32"/>
        </w:rPr>
        <w:t>3</w:t>
      </w:r>
    </w:p>
    <w:p w14:paraId="3C9F9EA7" w14:textId="77777777" w:rsidR="00014F45" w:rsidRPr="00014F45" w:rsidRDefault="00014F45" w:rsidP="00014F45">
      <w:pPr>
        <w:rPr>
          <w:rFonts w:ascii="Times New Roman" w:eastAsia="仿宋" w:hAnsi="Times New Roman" w:cs="Times New Roman"/>
          <w:sz w:val="28"/>
          <w:szCs w:val="36"/>
        </w:rPr>
      </w:pPr>
    </w:p>
    <w:p w14:paraId="529636EC" w14:textId="77777777" w:rsidR="00014F45" w:rsidRPr="00014F45" w:rsidRDefault="00014F45" w:rsidP="00014F45">
      <w:pPr>
        <w:spacing w:line="580" w:lineRule="exact"/>
        <w:jc w:val="center"/>
        <w:rPr>
          <w:rFonts w:ascii="Times New Roman" w:eastAsia="方正小标宋简体" w:hAnsi="Times New Roman" w:cs="Times New Roman"/>
          <w:kern w:val="0"/>
          <w:sz w:val="44"/>
          <w:szCs w:val="44"/>
          <w:lang w:bidi="ar"/>
        </w:rPr>
      </w:pPr>
      <w:r w:rsidRPr="00014F45">
        <w:rPr>
          <w:rFonts w:ascii="Times New Roman" w:eastAsia="方正小标宋简体" w:hAnsi="Times New Roman" w:cs="Times New Roman" w:hint="eastAsia"/>
          <w:kern w:val="0"/>
          <w:sz w:val="44"/>
          <w:szCs w:val="44"/>
          <w:lang w:bidi="ar"/>
        </w:rPr>
        <w:t>市科技攻关“揭榜挂帅”项目征集需求</w:t>
      </w:r>
    </w:p>
    <w:p w14:paraId="67C5D5CC" w14:textId="77777777" w:rsidR="00014F45" w:rsidRPr="00014F45" w:rsidRDefault="00014F45" w:rsidP="00014F45">
      <w:pPr>
        <w:spacing w:line="580" w:lineRule="exact"/>
        <w:jc w:val="center"/>
        <w:rPr>
          <w:rFonts w:ascii="Times New Roman" w:eastAsia="方正小标宋简体" w:hAnsi="Times New Roman" w:cs="Times New Roman"/>
          <w:kern w:val="0"/>
          <w:sz w:val="44"/>
          <w:szCs w:val="44"/>
          <w:lang w:bidi="ar"/>
        </w:rPr>
      </w:pPr>
      <w:r w:rsidRPr="00014F45">
        <w:rPr>
          <w:rFonts w:ascii="Times New Roman" w:eastAsia="方正小标宋简体" w:hAnsi="Times New Roman" w:cs="Times New Roman" w:hint="eastAsia"/>
          <w:kern w:val="0"/>
          <w:sz w:val="44"/>
          <w:szCs w:val="44"/>
          <w:lang w:bidi="ar"/>
        </w:rPr>
        <w:t>领域名词解释</w:t>
      </w:r>
    </w:p>
    <w:p w14:paraId="2BA7D9B0" w14:textId="77777777" w:rsidR="00014F45" w:rsidRPr="00014F45" w:rsidRDefault="00014F45" w:rsidP="00014F45">
      <w:pPr>
        <w:spacing w:line="580" w:lineRule="exact"/>
        <w:jc w:val="center"/>
        <w:rPr>
          <w:rFonts w:ascii="Times New Roman" w:eastAsia="方正小标宋简体" w:hAnsi="Times New Roman" w:cs="Times New Roman"/>
          <w:kern w:val="0"/>
          <w:sz w:val="44"/>
          <w:szCs w:val="44"/>
          <w:lang w:bidi="ar"/>
        </w:rPr>
      </w:pPr>
    </w:p>
    <w:p w14:paraId="615701F6" w14:textId="77777777" w:rsidR="00014F45" w:rsidRPr="00014F45" w:rsidRDefault="00014F45" w:rsidP="00014F45">
      <w:pPr>
        <w:adjustRightInd w:val="0"/>
        <w:spacing w:line="580" w:lineRule="exact"/>
        <w:ind w:firstLineChars="200" w:firstLine="640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合肥市把握现代产业“融合”和“集群”两大趋势，坚持有所为有所不为，聚焦“符合产业方向、符合政策导向”和有利于发挥合肥比较优势的重点领域，聚力打造“</w:t>
      </w:r>
      <w:r w:rsidRPr="00014F45">
        <w:rPr>
          <w:rFonts w:ascii="Times New Roman" w:eastAsia="仿宋_GB2312" w:hAnsi="Times New Roman" w:cs="Times New Roman"/>
          <w:sz w:val="32"/>
          <w:szCs w:val="32"/>
        </w:rPr>
        <w:t>6</w:t>
      </w:r>
      <w:r w:rsidRPr="00014F45">
        <w:rPr>
          <w:rFonts w:ascii="Times New Roman" w:eastAsia="汉仪细圆B5" w:hAnsi="Times New Roman" w:cs="Times New Roman" w:hint="eastAsia"/>
          <w:sz w:val="32"/>
          <w:szCs w:val="32"/>
        </w:rPr>
        <w:t>＋</w:t>
      </w:r>
      <w:r w:rsidRPr="00014F45">
        <w:rPr>
          <w:rFonts w:ascii="Times New Roman" w:eastAsia="仿宋_GB2312" w:hAnsi="Times New Roman" w:cs="Times New Roman"/>
          <w:sz w:val="32"/>
          <w:szCs w:val="32"/>
        </w:rPr>
        <w:t>5</w:t>
      </w:r>
      <w:r w:rsidRPr="00014F45">
        <w:rPr>
          <w:rFonts w:ascii="Times New Roman" w:eastAsia="汉仪细圆B5" w:hAnsi="Times New Roman" w:cs="Times New Roman" w:hint="eastAsia"/>
          <w:sz w:val="32"/>
          <w:szCs w:val="32"/>
        </w:rPr>
        <w:t>＋</w:t>
      </w:r>
      <w:r w:rsidRPr="00014F45">
        <w:rPr>
          <w:rFonts w:ascii="Times New Roman" w:eastAsia="仿宋_GB2312" w:hAnsi="Times New Roman" w:cs="Times New Roman"/>
          <w:sz w:val="32"/>
          <w:szCs w:val="32"/>
        </w:rPr>
        <w:t>X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”产业集群体系。</w:t>
      </w:r>
    </w:p>
    <w:p w14:paraId="61F33014" w14:textId="77777777" w:rsidR="00014F45" w:rsidRPr="00014F45" w:rsidRDefault="00014F45" w:rsidP="00014F45">
      <w:pPr>
        <w:adjustRightInd w:val="0"/>
        <w:spacing w:line="580" w:lineRule="exact"/>
        <w:ind w:firstLineChars="200" w:firstLine="643"/>
        <w:rPr>
          <w:rFonts w:ascii="Times New Roman" w:eastAsia="楷体_GB2312" w:hAnsi="Times New Roman" w:cs="Times New Roman"/>
          <w:b/>
          <w:sz w:val="32"/>
          <w:szCs w:val="32"/>
        </w:rPr>
      </w:pPr>
      <w:r w:rsidRPr="00014F45">
        <w:rPr>
          <w:rFonts w:ascii="Times New Roman" w:eastAsia="楷体_GB2312" w:hAnsi="Times New Roman" w:cs="Times New Roman" w:hint="eastAsia"/>
          <w:b/>
          <w:sz w:val="32"/>
          <w:szCs w:val="32"/>
        </w:rPr>
        <w:t>（一）做大</w:t>
      </w:r>
      <w:proofErr w:type="gramStart"/>
      <w:r w:rsidRPr="00014F45">
        <w:rPr>
          <w:rFonts w:ascii="Times New Roman" w:eastAsia="楷体_GB2312" w:hAnsi="Times New Roman" w:cs="Times New Roman" w:hint="eastAsia"/>
          <w:b/>
          <w:sz w:val="32"/>
          <w:szCs w:val="32"/>
        </w:rPr>
        <w:t>做强六大</w:t>
      </w:r>
      <w:proofErr w:type="gramEnd"/>
      <w:r w:rsidRPr="00014F45">
        <w:rPr>
          <w:rFonts w:ascii="Times New Roman" w:eastAsia="楷体_GB2312" w:hAnsi="Times New Roman" w:cs="Times New Roman" w:hint="eastAsia"/>
          <w:b/>
          <w:sz w:val="32"/>
          <w:szCs w:val="32"/>
        </w:rPr>
        <w:t>主导产业集群</w:t>
      </w:r>
    </w:p>
    <w:p w14:paraId="498856D1" w14:textId="77777777" w:rsidR="00014F45" w:rsidRPr="00014F45" w:rsidRDefault="00014F45" w:rsidP="00014F45">
      <w:pPr>
        <w:adjustRightInd w:val="0"/>
        <w:spacing w:line="58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014F45">
        <w:rPr>
          <w:rFonts w:ascii="Times New Roman" w:eastAsia="仿宋_GB2312" w:hAnsi="Times New Roman" w:cs="Times New Roman"/>
          <w:b/>
          <w:bCs/>
          <w:sz w:val="32"/>
          <w:szCs w:val="32"/>
        </w:rPr>
        <w:t>1</w:t>
      </w:r>
      <w:r w:rsidRPr="00014F45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．新能源汽车。</w:t>
      </w:r>
      <w:r w:rsidRPr="00014F45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>围绕打造新能源汽车之都和智能新能源汽车创新高地，加强整车—零部件—后市场“三位一体”全链条布局，建设新能源汽车发展引领区，争创国家级产业集群。（</w:t>
      </w:r>
      <w:r w:rsidRPr="00014F45">
        <w:rPr>
          <w:rFonts w:ascii="Times New Roman" w:eastAsia="仿宋_GB2312" w:hAnsi="Times New Roman" w:cs="Times New Roman"/>
          <w:spacing w:val="-6"/>
          <w:sz w:val="32"/>
          <w:szCs w:val="32"/>
        </w:rPr>
        <w:t>1</w:t>
      </w:r>
      <w:r w:rsidRPr="00014F45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>）整车，聚力打造下塘、新桥—南岗、新港—中派三大“百万辆”整车生产基地，推进新能源乘用车全谱系车型布局，覆盖从微型、紧凑型、中大型到豪华型的</w:t>
      </w:r>
      <w:proofErr w:type="gramStart"/>
      <w:r w:rsidRPr="00014F45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>全价值</w:t>
      </w:r>
      <w:proofErr w:type="gramEnd"/>
      <w:r w:rsidRPr="00014F45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>区间。大力发展新能源商（专）用车，加快公共领域商（专）用车辆全面新能源化。（</w:t>
      </w:r>
      <w:r w:rsidRPr="00014F45">
        <w:rPr>
          <w:rFonts w:ascii="Times New Roman" w:eastAsia="仿宋_GB2312" w:hAnsi="Times New Roman" w:cs="Times New Roman"/>
          <w:spacing w:val="-6"/>
          <w:sz w:val="32"/>
          <w:szCs w:val="32"/>
        </w:rPr>
        <w:t>2</w:t>
      </w:r>
      <w:r w:rsidRPr="00014F45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>）零部件，重点建设高新区、新站高新区、包河区、肥西县、巢湖市、庐江县、肥东县等“百亿级”零部件配套园区，强化电池、电机、电控等核心部件配套，引导企业开展“车芯屏”协同攻关，发展车身轻量化等制造工艺，力争新能源汽车</w:t>
      </w:r>
      <w:proofErr w:type="gramStart"/>
      <w:r w:rsidRPr="00014F45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>整零比</w:t>
      </w:r>
      <w:proofErr w:type="gramEnd"/>
      <w:r w:rsidRPr="00014F45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>“翻一番”。（</w:t>
      </w:r>
      <w:r w:rsidRPr="00014F45">
        <w:rPr>
          <w:rFonts w:ascii="Times New Roman" w:eastAsia="仿宋_GB2312" w:hAnsi="Times New Roman" w:cs="Times New Roman"/>
          <w:spacing w:val="-6"/>
          <w:sz w:val="32"/>
          <w:szCs w:val="32"/>
        </w:rPr>
        <w:t>3</w:t>
      </w:r>
      <w:r w:rsidRPr="00014F45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>）智能网联，围绕构建国内领先的智能网联汽车应用生态，加快布局基础设施、政策法规、技术标</w:t>
      </w:r>
      <w:r w:rsidRPr="00014F45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lastRenderedPageBreak/>
        <w:t>准体系，积极招引培育一批核心技术企业，率先开展全域性开放、全无人测试、商业化运营的城市级场景应用，争创国家级车联网先导区。（</w:t>
      </w:r>
      <w:r w:rsidRPr="00014F45">
        <w:rPr>
          <w:rFonts w:ascii="Times New Roman" w:eastAsia="仿宋_GB2312" w:hAnsi="Times New Roman" w:cs="Times New Roman"/>
          <w:spacing w:val="-6"/>
          <w:sz w:val="32"/>
          <w:szCs w:val="32"/>
        </w:rPr>
        <w:t>4</w:t>
      </w:r>
      <w:r w:rsidRPr="00014F45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>）后市场，围绕打造全国重要汽车消费和服务中心，加快整车再制造、电池回收利用、检验检测、汽车旅游、汽车文化等后市场领域发展，鼓励“车电分离”经营模式，支持创建“电池银行”，加快建成新能源汽车展销中心，打造合肥国际新能源汽车展览会品牌。适度超前建设新能源汽车</w:t>
      </w:r>
      <w:proofErr w:type="gramStart"/>
      <w:r w:rsidRPr="00014F45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>充换电</w:t>
      </w:r>
      <w:proofErr w:type="gramEnd"/>
      <w:r w:rsidRPr="00014F45"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>体系，实现农村行政村、城市住宅小区和全市旅游景点全覆盖。</w:t>
      </w:r>
    </w:p>
    <w:p w14:paraId="0E776AD1" w14:textId="77777777" w:rsidR="00014F45" w:rsidRPr="00014F45" w:rsidRDefault="00014F45" w:rsidP="00014F45">
      <w:pPr>
        <w:adjustRightInd w:val="0"/>
        <w:spacing w:line="58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014F45">
        <w:rPr>
          <w:rFonts w:ascii="Times New Roman" w:eastAsia="仿宋_GB2312" w:hAnsi="Times New Roman" w:cs="Times New Roman"/>
          <w:b/>
          <w:bCs/>
          <w:sz w:val="32"/>
          <w:szCs w:val="32"/>
        </w:rPr>
        <w:t>2</w:t>
      </w:r>
      <w:r w:rsidRPr="00014F45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．新一代信息技术。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围绕打造世界级新一代信息技术产业集群，巩固现有产业优势，加快新兴领域布局，</w:t>
      </w:r>
      <w:proofErr w:type="gramStart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推动跨链融合</w:t>
      </w:r>
      <w:proofErr w:type="gramEnd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发展，构建以高新区、经开区、新站高新区为核心承载区，其他县（市、区）、开发区为联动发展区的产业格局。（</w:t>
      </w:r>
      <w:r w:rsidRPr="00014F45">
        <w:rPr>
          <w:rFonts w:ascii="Times New Roman" w:eastAsia="仿宋_GB2312" w:hAnsi="Times New Roman" w:cs="Times New Roman"/>
          <w:sz w:val="32"/>
          <w:szCs w:val="32"/>
        </w:rPr>
        <w:t>1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）新型显示，围绕打造世界显示之都，持续发展薄膜晶体管液晶显示（</w:t>
      </w:r>
      <w:r w:rsidRPr="00014F45">
        <w:rPr>
          <w:rFonts w:ascii="Times New Roman" w:eastAsia="仿宋_GB2312" w:hAnsi="Times New Roman" w:cs="Times New Roman"/>
          <w:sz w:val="32"/>
          <w:szCs w:val="32"/>
        </w:rPr>
        <w:t>TFT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—</w:t>
      </w:r>
      <w:r w:rsidRPr="00014F45">
        <w:rPr>
          <w:rFonts w:ascii="Times New Roman" w:eastAsia="仿宋_GB2312" w:hAnsi="Times New Roman" w:cs="Times New Roman"/>
          <w:sz w:val="32"/>
          <w:szCs w:val="32"/>
        </w:rPr>
        <w:t>LCD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）、有源矩阵有机发光二极体（</w:t>
      </w:r>
      <w:r w:rsidRPr="00014F45">
        <w:rPr>
          <w:rFonts w:ascii="Times New Roman" w:eastAsia="仿宋_GB2312" w:hAnsi="Times New Roman" w:cs="Times New Roman"/>
          <w:sz w:val="32"/>
          <w:szCs w:val="32"/>
        </w:rPr>
        <w:t>AMOLED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）、亚毫米发光二极管</w:t>
      </w:r>
      <w:r w:rsidRPr="00014F45">
        <w:rPr>
          <w:rFonts w:ascii="Times New Roman" w:eastAsia="仿宋_GB2312" w:hAnsi="Times New Roman" w:cs="Times New Roman"/>
          <w:sz w:val="32"/>
          <w:szCs w:val="32"/>
        </w:rPr>
        <w:t>/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微型发光二极管（</w:t>
      </w:r>
      <w:r w:rsidRPr="00014F45">
        <w:rPr>
          <w:rFonts w:ascii="Times New Roman" w:eastAsia="仿宋_GB2312" w:hAnsi="Times New Roman" w:cs="Times New Roman"/>
          <w:sz w:val="32"/>
          <w:szCs w:val="32"/>
        </w:rPr>
        <w:t>Mini/Micro LED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）、硅基有机发光二级管（硅基</w:t>
      </w:r>
      <w:r w:rsidRPr="00014F45">
        <w:rPr>
          <w:rFonts w:ascii="Times New Roman" w:eastAsia="仿宋_GB2312" w:hAnsi="Times New Roman" w:cs="Times New Roman"/>
          <w:sz w:val="32"/>
          <w:szCs w:val="32"/>
        </w:rPr>
        <w:t>OLED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）、量子点显示、空气成像、激光显示等七</w:t>
      </w:r>
      <w:proofErr w:type="gramStart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大显示</w:t>
      </w:r>
      <w:proofErr w:type="gramEnd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技术，突破有机发光材料、高纯度靶材、蒸镀机等关键技术。推动智能终端向虚拟现实</w:t>
      </w:r>
      <w:r w:rsidRPr="00014F45">
        <w:rPr>
          <w:rFonts w:ascii="Times New Roman" w:eastAsia="仿宋_GB2312" w:hAnsi="Times New Roman" w:cs="Times New Roman"/>
          <w:sz w:val="32"/>
          <w:szCs w:val="32"/>
        </w:rPr>
        <w:t>/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增强现实（</w:t>
      </w:r>
      <w:r w:rsidRPr="00014F45">
        <w:rPr>
          <w:rFonts w:ascii="Times New Roman" w:eastAsia="仿宋_GB2312" w:hAnsi="Times New Roman" w:cs="Times New Roman"/>
          <w:sz w:val="32"/>
          <w:szCs w:val="32"/>
        </w:rPr>
        <w:t>AR/VR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）、超高清显示、车载显示模组等方向发展。（</w:t>
      </w:r>
      <w:r w:rsidRPr="00014F45">
        <w:rPr>
          <w:rFonts w:ascii="Times New Roman" w:eastAsia="仿宋_GB2312" w:hAnsi="Times New Roman" w:cs="Times New Roman"/>
          <w:sz w:val="32"/>
          <w:szCs w:val="32"/>
        </w:rPr>
        <w:t>2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）集成电路，围绕打造中国集成电路（</w:t>
      </w:r>
      <w:r w:rsidRPr="00014F45">
        <w:rPr>
          <w:rFonts w:ascii="Times New Roman" w:eastAsia="仿宋_GB2312" w:hAnsi="Times New Roman" w:cs="Times New Roman"/>
          <w:sz w:val="32"/>
          <w:szCs w:val="32"/>
        </w:rPr>
        <w:t>IC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）之都，做大做</w:t>
      </w:r>
      <w:proofErr w:type="gramStart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强现有晶圆制造</w:t>
      </w:r>
      <w:proofErr w:type="gramEnd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基地，发展壮大存储、显示驱动、汽车电子等特色芯片，全面发力车</w:t>
      </w:r>
      <w:proofErr w:type="gramStart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规</w:t>
      </w:r>
      <w:proofErr w:type="gramEnd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级芯片和绝缘栅双极晶体管（</w:t>
      </w:r>
      <w:r w:rsidRPr="00014F45">
        <w:rPr>
          <w:rFonts w:ascii="Times New Roman" w:eastAsia="仿宋_GB2312" w:hAnsi="Times New Roman" w:cs="Times New Roman"/>
          <w:sz w:val="32"/>
          <w:szCs w:val="32"/>
        </w:rPr>
        <w:t>IGBT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）器件，积极发展第三代半导体，加快培育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量子芯片、光子芯片、碳基芯片等新赛道，持续提升芯粒（</w:t>
      </w:r>
      <w:proofErr w:type="spellStart"/>
      <w:r w:rsidRPr="00014F45">
        <w:rPr>
          <w:rFonts w:ascii="Times New Roman" w:eastAsia="仿宋_GB2312" w:hAnsi="Times New Roman" w:cs="Times New Roman"/>
          <w:sz w:val="32"/>
          <w:szCs w:val="32"/>
        </w:rPr>
        <w:t>Chiplet</w:t>
      </w:r>
      <w:proofErr w:type="spellEnd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）等先进封装能力。抢抓国产化替代机遇，加快培育引进大硅片、光刻胶、蚀刻机等核心材料装备项目。（</w:t>
      </w:r>
      <w:r w:rsidRPr="00014F45">
        <w:rPr>
          <w:rFonts w:ascii="Times New Roman" w:eastAsia="仿宋_GB2312" w:hAnsi="Times New Roman" w:cs="Times New Roman"/>
          <w:sz w:val="32"/>
          <w:szCs w:val="32"/>
        </w:rPr>
        <w:t>3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）软件及人工智能，围绕打造中国软件名城，加快中国声谷、中国安全谷、中国网谷、中国视界和国家级合肥软件园等载体建设，发力高端工业软件、工业互联网平台、人工智能软件、行业应用软件四大领域，积极布局发展网络安全、数据交易、</w:t>
      </w:r>
      <w:proofErr w:type="gramStart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信创等</w:t>
      </w:r>
      <w:proofErr w:type="gramEnd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领域，加快计算机辅助工程（</w:t>
      </w:r>
      <w:r w:rsidRPr="00014F45">
        <w:rPr>
          <w:rFonts w:ascii="Times New Roman" w:eastAsia="仿宋_GB2312" w:hAnsi="Times New Roman" w:cs="Times New Roman"/>
          <w:sz w:val="32"/>
          <w:szCs w:val="32"/>
        </w:rPr>
        <w:t>CAE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）、电子设计自动化（</w:t>
      </w:r>
      <w:r w:rsidRPr="00014F45">
        <w:rPr>
          <w:rFonts w:ascii="Times New Roman" w:eastAsia="仿宋_GB2312" w:hAnsi="Times New Roman" w:cs="Times New Roman"/>
          <w:sz w:val="32"/>
          <w:szCs w:val="32"/>
        </w:rPr>
        <w:t>EDA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）等国产化替代，构建“算力基础</w:t>
      </w:r>
      <w:r w:rsidRPr="00014F45">
        <w:rPr>
          <w:rFonts w:ascii="Times New Roman" w:eastAsia="汉仪细圆B5" w:hAnsi="Times New Roman" w:cs="Times New Roman" w:hint="eastAsia"/>
          <w:sz w:val="32"/>
          <w:szCs w:val="32"/>
        </w:rPr>
        <w:t>＋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公共平台</w:t>
      </w:r>
      <w:r w:rsidRPr="00014F45">
        <w:rPr>
          <w:rFonts w:ascii="Times New Roman" w:eastAsia="汉仪细圆B5" w:hAnsi="Times New Roman" w:cs="Times New Roman" w:hint="eastAsia"/>
          <w:sz w:val="32"/>
          <w:szCs w:val="32"/>
        </w:rPr>
        <w:t>＋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数据服务</w:t>
      </w:r>
      <w:r w:rsidRPr="00014F45">
        <w:rPr>
          <w:rFonts w:ascii="Times New Roman" w:eastAsia="汉仪细圆B5" w:hAnsi="Times New Roman" w:cs="Times New Roman" w:hint="eastAsia"/>
          <w:sz w:val="32"/>
          <w:szCs w:val="32"/>
        </w:rPr>
        <w:t>＋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应用生态”发展格局。（</w:t>
      </w:r>
      <w:r w:rsidRPr="00014F45">
        <w:rPr>
          <w:rFonts w:ascii="Times New Roman" w:eastAsia="仿宋_GB2312" w:hAnsi="Times New Roman" w:cs="Times New Roman"/>
          <w:sz w:val="32"/>
          <w:szCs w:val="32"/>
        </w:rPr>
        <w:t>4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）城市安全，围绕打造引领性公共安全产业高地，做大做强城市生命线产业发展集团，依托清华大学合肥公共安全研究院，主导建立行业标准规范体系，强化感知设备、应用服务等上下游产业配套，建设辐射全国、开放共享的运营模式和生态体系。</w:t>
      </w:r>
    </w:p>
    <w:p w14:paraId="16499411" w14:textId="77777777" w:rsidR="00014F45" w:rsidRPr="00014F45" w:rsidRDefault="00014F45" w:rsidP="00014F45">
      <w:pPr>
        <w:adjustRightInd w:val="0"/>
        <w:spacing w:line="58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014F45">
        <w:rPr>
          <w:rFonts w:ascii="Times New Roman" w:eastAsia="仿宋_GB2312" w:hAnsi="Times New Roman" w:cs="Times New Roman"/>
          <w:b/>
          <w:bCs/>
          <w:sz w:val="32"/>
          <w:szCs w:val="32"/>
        </w:rPr>
        <w:t>3</w:t>
      </w:r>
      <w:r w:rsidRPr="00014F45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．先进</w:t>
      </w:r>
      <w:proofErr w:type="gramStart"/>
      <w:r w:rsidRPr="00014F45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光伏及新型</w:t>
      </w:r>
      <w:proofErr w:type="gramEnd"/>
      <w:r w:rsidRPr="00014F45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储能。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围绕打造规模国内前列、技术国际一流的先进</w:t>
      </w:r>
      <w:proofErr w:type="gramStart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光伏及新型</w:t>
      </w:r>
      <w:proofErr w:type="gramEnd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储能产业集群，推进“逆变器—电池组件—新型储能—智慧能源”全产业链发展，建设以高新区、肥东县、肥西县为引领，庐江县、长丰县、巢湖市、</w:t>
      </w:r>
      <w:proofErr w:type="gramStart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安巢经</w:t>
      </w:r>
      <w:proofErr w:type="gramEnd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开区等协同发展的产业格局。（</w:t>
      </w:r>
      <w:r w:rsidRPr="00014F45">
        <w:rPr>
          <w:rFonts w:ascii="Times New Roman" w:eastAsia="仿宋_GB2312" w:hAnsi="Times New Roman" w:cs="Times New Roman"/>
          <w:sz w:val="32"/>
          <w:szCs w:val="32"/>
        </w:rPr>
        <w:t>1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）先进光伏，</w:t>
      </w:r>
      <w:proofErr w:type="gramStart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突出提</w:t>
      </w:r>
      <w:proofErr w:type="gramEnd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质升级，壮大现有产业规模，加快</w:t>
      </w:r>
      <w:r w:rsidRPr="00014F45">
        <w:rPr>
          <w:rFonts w:ascii="Times New Roman" w:eastAsia="仿宋_GB2312" w:hAnsi="Times New Roman" w:cs="Times New Roman"/>
          <w:sz w:val="32"/>
          <w:szCs w:val="32"/>
        </w:rPr>
        <w:t>N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型电池、钙钛矿电池</w:t>
      </w:r>
      <w:proofErr w:type="gramStart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和组串式</w:t>
      </w:r>
      <w:proofErr w:type="gramEnd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逆变器等产业化，补齐关键辅材和重要设备短板。深化国家屋顶分布式光</w:t>
      </w:r>
      <w:proofErr w:type="gramStart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伏开发</w:t>
      </w:r>
      <w:proofErr w:type="gramEnd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试点城市建设，探索光伏</w:t>
      </w:r>
      <w:r w:rsidRPr="00014F45">
        <w:rPr>
          <w:rFonts w:ascii="Times New Roman" w:eastAsia="汉仪细圆B5" w:hAnsi="Times New Roman" w:cs="Times New Roman" w:hint="eastAsia"/>
          <w:sz w:val="32"/>
          <w:szCs w:val="32"/>
        </w:rPr>
        <w:t>＋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储能、光伏</w:t>
      </w:r>
      <w:r w:rsidRPr="00014F45">
        <w:rPr>
          <w:rFonts w:ascii="Times New Roman" w:eastAsia="汉仪细圆B5" w:hAnsi="Times New Roman" w:cs="Times New Roman" w:hint="eastAsia"/>
          <w:sz w:val="32"/>
          <w:szCs w:val="32"/>
        </w:rPr>
        <w:t>＋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制氢、</w:t>
      </w:r>
      <w:proofErr w:type="gramStart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光储充</w:t>
      </w:r>
      <w:proofErr w:type="gramEnd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一体化等综合开发模式。（</w:t>
      </w:r>
      <w:r w:rsidRPr="00014F45">
        <w:rPr>
          <w:rFonts w:ascii="Times New Roman" w:eastAsia="仿宋_GB2312" w:hAnsi="Times New Roman" w:cs="Times New Roman"/>
          <w:sz w:val="32"/>
          <w:szCs w:val="32"/>
        </w:rPr>
        <w:t>2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）新型储能，</w:t>
      </w:r>
      <w:proofErr w:type="gramStart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突出扩量增效</w:t>
      </w:r>
      <w:proofErr w:type="gramEnd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，加快现有储能电池产品迭代，布局钠离子、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固态半固态等电池前沿技术，强化隔膜、正负极材料等高价值环节配套。拓展新型储能集成设计、</w:t>
      </w:r>
      <w:proofErr w:type="gramStart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源网荷储</w:t>
      </w:r>
      <w:proofErr w:type="gramEnd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一体化协同应用，构建电池梯次利用体系。（</w:t>
      </w:r>
      <w:r w:rsidRPr="00014F45">
        <w:rPr>
          <w:rFonts w:ascii="Times New Roman" w:eastAsia="仿宋_GB2312" w:hAnsi="Times New Roman" w:cs="Times New Roman"/>
          <w:sz w:val="32"/>
          <w:szCs w:val="32"/>
        </w:rPr>
        <w:t>3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）氢（氨）能，突出超前布局，依托合肥综合性国家科学中心能源研究院等重大平台，加快氢（氨）能“制运储用”全链条发展，推动成本持续下降，探索规模化应用。</w:t>
      </w:r>
    </w:p>
    <w:p w14:paraId="1FC2163C" w14:textId="77777777" w:rsidR="00014F45" w:rsidRPr="00014F45" w:rsidRDefault="00014F45" w:rsidP="00014F45">
      <w:pPr>
        <w:adjustRightInd w:val="0"/>
        <w:spacing w:line="58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014F45">
        <w:rPr>
          <w:rFonts w:ascii="Times New Roman" w:eastAsia="仿宋_GB2312" w:hAnsi="Times New Roman" w:cs="Times New Roman"/>
          <w:b/>
          <w:bCs/>
          <w:sz w:val="32"/>
          <w:szCs w:val="32"/>
        </w:rPr>
        <w:t>4</w:t>
      </w:r>
      <w:r w:rsidRPr="00014F45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．生物医药。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围绕构建国内一流的产业生态和创新能力，打造全市新的支柱产业和国家级产业集群，完善以高新区为核心，肥西县、经开区、肥东县、庐江县、新站高新区、瑶海区、</w:t>
      </w:r>
      <w:proofErr w:type="gramStart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蜀山区</w:t>
      </w:r>
      <w:proofErr w:type="gramEnd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等协同发展的产业格局。（</w:t>
      </w:r>
      <w:r w:rsidRPr="00014F45">
        <w:rPr>
          <w:rFonts w:ascii="Times New Roman" w:eastAsia="仿宋_GB2312" w:hAnsi="Times New Roman" w:cs="Times New Roman"/>
          <w:sz w:val="32"/>
          <w:szCs w:val="32"/>
        </w:rPr>
        <w:t>1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）生物制药，依托合肥综合性国家科学中心大健康研究院等平台和龙头企业，加快疫苗类（含动物疫苗）、干细胞类、新型抗体类、中医药类等创新药物研发上市。深化产</w:t>
      </w:r>
      <w:proofErr w:type="gramStart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医</w:t>
      </w:r>
      <w:proofErr w:type="gramEnd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融合发展，提升药物临床前研究、生物制品等检验检测平台能力，支持健全“产业基金</w:t>
      </w:r>
      <w:r w:rsidRPr="00014F45">
        <w:rPr>
          <w:rFonts w:ascii="Times New Roman" w:eastAsia="汉仪细圆B5" w:hAnsi="Times New Roman" w:cs="Times New Roman" w:hint="eastAsia"/>
          <w:sz w:val="32"/>
          <w:szCs w:val="32"/>
        </w:rPr>
        <w:t>＋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公共服务</w:t>
      </w:r>
      <w:r w:rsidRPr="00014F45">
        <w:rPr>
          <w:rFonts w:ascii="Times New Roman" w:eastAsia="汉仪细圆B5" w:hAnsi="Times New Roman" w:cs="Times New Roman" w:hint="eastAsia"/>
          <w:sz w:val="32"/>
          <w:szCs w:val="32"/>
        </w:rPr>
        <w:t>＋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审批服务</w:t>
      </w:r>
      <w:r w:rsidRPr="00014F45">
        <w:rPr>
          <w:rFonts w:ascii="Times New Roman" w:eastAsia="汉仪细圆B5" w:hAnsi="Times New Roman" w:cs="Times New Roman" w:hint="eastAsia"/>
          <w:sz w:val="32"/>
          <w:szCs w:val="32"/>
        </w:rPr>
        <w:t>＋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场景应用</w:t>
      </w:r>
      <w:r w:rsidRPr="00014F45">
        <w:rPr>
          <w:rFonts w:ascii="Times New Roman" w:eastAsia="汉仪细圆B5" w:hAnsi="Times New Roman" w:cs="Times New Roman" w:hint="eastAsia"/>
          <w:sz w:val="32"/>
          <w:szCs w:val="32"/>
        </w:rPr>
        <w:t>＋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特殊载体</w:t>
      </w:r>
      <w:r w:rsidRPr="00014F45">
        <w:rPr>
          <w:rFonts w:ascii="Times New Roman" w:eastAsia="汉仪细圆B5" w:hAnsi="Times New Roman" w:cs="Times New Roman" w:hint="eastAsia"/>
          <w:sz w:val="32"/>
          <w:szCs w:val="32"/>
        </w:rPr>
        <w:t>＋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临床需求”全要素保障体系。（</w:t>
      </w:r>
      <w:r w:rsidRPr="00014F45">
        <w:rPr>
          <w:rFonts w:ascii="Times New Roman" w:eastAsia="仿宋_GB2312" w:hAnsi="Times New Roman" w:cs="Times New Roman"/>
          <w:sz w:val="32"/>
          <w:szCs w:val="32"/>
        </w:rPr>
        <w:t>2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）高端医疗器械，构建国家级医疗器械检验检测区域中心，创新医疗器械审批绿色通道，加速医学影像、体外诊断设备、高值耗材等高端医疗器械成果产业化，拓展智慧医疗、精准医疗等新赛道。</w:t>
      </w:r>
    </w:p>
    <w:p w14:paraId="73DBCF44" w14:textId="77777777" w:rsidR="00014F45" w:rsidRPr="00014F45" w:rsidRDefault="00014F45" w:rsidP="00014F45">
      <w:pPr>
        <w:adjustRightInd w:val="0"/>
        <w:spacing w:line="58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014F45">
        <w:rPr>
          <w:rFonts w:ascii="Times New Roman" w:eastAsia="仿宋_GB2312" w:hAnsi="Times New Roman" w:cs="Times New Roman"/>
          <w:b/>
          <w:bCs/>
          <w:sz w:val="32"/>
          <w:szCs w:val="32"/>
        </w:rPr>
        <w:t>5</w:t>
      </w:r>
      <w:r w:rsidRPr="00014F45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．智能家电（居）。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围绕打造世界级智能家电（居）产业集群，引导现有龙头企业布局高价值产品、高技术产线、高附加值环节，构建以高新区、经开区、新站高新区为龙头，以肥东县、肥西县、长丰县、巢湖市等为特色集聚区的产业格局。健全与在肥家电企业总部对接机制，巩固白色家电市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场份额，大力发展厨卫小家电、</w:t>
      </w:r>
      <w:proofErr w:type="gramStart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适老护幼</w:t>
      </w:r>
      <w:proofErr w:type="gramEnd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、可穿戴等“爆款单品”和全屋定制等新模式。加快建成智能家居展销中心，推进更多智能家居场景展示落地。</w:t>
      </w:r>
    </w:p>
    <w:p w14:paraId="52AB4AE1" w14:textId="77777777" w:rsidR="00014F45" w:rsidRPr="00014F45" w:rsidRDefault="00014F45" w:rsidP="00014F45">
      <w:pPr>
        <w:adjustRightInd w:val="0"/>
        <w:spacing w:line="58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014F45">
        <w:rPr>
          <w:rFonts w:ascii="Times New Roman" w:eastAsia="仿宋_GB2312" w:hAnsi="Times New Roman" w:cs="Times New Roman"/>
          <w:b/>
          <w:bCs/>
          <w:sz w:val="32"/>
          <w:szCs w:val="32"/>
        </w:rPr>
        <w:t>6</w:t>
      </w:r>
      <w:r w:rsidRPr="00014F45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．高端装备及新材料。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围绕打造特色领域国际一流的高端装备和新材料基地，以新能源汽车、集成电路、新型显示、先进</w:t>
      </w:r>
      <w:proofErr w:type="gramStart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光伏等产业</w:t>
      </w:r>
      <w:proofErr w:type="gramEnd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装备及材料需求为牵引，加快攻克一批核心技术，构建以经开区、高新区为引领，新站高新区、包河区、肥东县、肥西县、庐江县、巢湖市、庐阳区、</w:t>
      </w:r>
      <w:proofErr w:type="gramStart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蜀山区</w:t>
      </w:r>
      <w:proofErr w:type="gramEnd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等为重点支撑的产业格局。（</w:t>
      </w:r>
      <w:r w:rsidRPr="00014F45">
        <w:rPr>
          <w:rFonts w:ascii="Times New Roman" w:eastAsia="仿宋_GB2312" w:hAnsi="Times New Roman" w:cs="Times New Roman"/>
          <w:sz w:val="32"/>
          <w:szCs w:val="32"/>
        </w:rPr>
        <w:t>1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）高端成套设备，巩固提升色选机、锻压机床、叉车等领域既有优势，培育发展泛半导体装备、新型储能装备、航空航天装备、太赫兹装备、仪器仪表、先进农机等一批新增长点。（</w:t>
      </w:r>
      <w:r w:rsidRPr="00014F45">
        <w:rPr>
          <w:rFonts w:ascii="Times New Roman" w:eastAsia="仿宋_GB2312" w:hAnsi="Times New Roman" w:cs="Times New Roman"/>
          <w:sz w:val="32"/>
          <w:szCs w:val="32"/>
        </w:rPr>
        <w:t>2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）传感器，聚焦消费电子、智能驾驶、智能机器人、智慧农业等应用领域，加快布局发展涵盖力、光、声、热、磁、气等“六感”的智能传感器产品。（</w:t>
      </w:r>
      <w:r w:rsidRPr="00014F45">
        <w:rPr>
          <w:rFonts w:ascii="Times New Roman" w:eastAsia="仿宋_GB2312" w:hAnsi="Times New Roman" w:cs="Times New Roman"/>
          <w:sz w:val="32"/>
          <w:szCs w:val="32"/>
        </w:rPr>
        <w:t>3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）机器人，以整机为引领，加快布局焊接总装、搬运清洁、安检巡查等机器人，强化减速器、控制器、伺服电机核心部件配套，加强人形机器人研发攻关。（</w:t>
      </w:r>
      <w:r w:rsidRPr="00014F45">
        <w:rPr>
          <w:rFonts w:ascii="Times New Roman" w:eastAsia="仿宋_GB2312" w:hAnsi="Times New Roman" w:cs="Times New Roman"/>
          <w:sz w:val="32"/>
          <w:szCs w:val="32"/>
        </w:rPr>
        <w:t>4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）节能环保，加快中国环境谷等平台建设，提升节能环保装备材料技术水平，构建技术研发、产品制造和服务全链条体系。（</w:t>
      </w:r>
      <w:r w:rsidRPr="00014F45">
        <w:rPr>
          <w:rFonts w:ascii="Times New Roman" w:eastAsia="仿宋_GB2312" w:hAnsi="Times New Roman" w:cs="Times New Roman"/>
          <w:sz w:val="32"/>
          <w:szCs w:val="32"/>
        </w:rPr>
        <w:t>5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）新材料，做强功能膜、铝镁合金、高分子材料等现有基础，加快先进电子材料、新能源电池材料、磁性材料等细分领域研发及产业化。</w:t>
      </w:r>
    </w:p>
    <w:p w14:paraId="1064783A" w14:textId="77777777" w:rsidR="00014F45" w:rsidRPr="00014F45" w:rsidRDefault="00014F45" w:rsidP="00014F45">
      <w:pPr>
        <w:adjustRightInd w:val="0"/>
        <w:spacing w:line="580" w:lineRule="exact"/>
        <w:ind w:firstLineChars="200" w:firstLine="643"/>
        <w:rPr>
          <w:rFonts w:ascii="Times New Roman" w:eastAsia="楷体_GB2312" w:hAnsi="Times New Roman" w:cs="Times New Roman"/>
          <w:b/>
          <w:sz w:val="32"/>
          <w:szCs w:val="32"/>
        </w:rPr>
      </w:pPr>
      <w:r w:rsidRPr="00014F45">
        <w:rPr>
          <w:rFonts w:ascii="Times New Roman" w:eastAsia="楷体_GB2312" w:hAnsi="Times New Roman" w:cs="Times New Roman" w:hint="eastAsia"/>
          <w:b/>
          <w:sz w:val="32"/>
          <w:szCs w:val="32"/>
        </w:rPr>
        <w:t>（二）前瞻布局五大先导产业集群</w:t>
      </w:r>
    </w:p>
    <w:p w14:paraId="7964FE6B" w14:textId="77777777" w:rsidR="00014F45" w:rsidRPr="00014F45" w:rsidRDefault="00014F45" w:rsidP="00014F45">
      <w:pPr>
        <w:adjustRightInd w:val="0"/>
        <w:spacing w:line="58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依托合肥综合性国家科学中心、中国科大等高校科研院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lastRenderedPageBreak/>
        <w:t>所基础科研优势，以科大硅谷、未来大科学城为主要承载区，组织实施未来产业孵化与加速计划，巩固培育量子信息、空天技术、聚变能源、下一代人工智能、合成生物等五大重点领域优势，持续跟踪下一代通讯技术、超导材料、元宇宙与区块链等若干前沿技术方向，创建国家未来产业先导区。</w:t>
      </w:r>
    </w:p>
    <w:p w14:paraId="3281354D" w14:textId="77777777" w:rsidR="00014F45" w:rsidRPr="00014F45" w:rsidRDefault="00014F45" w:rsidP="00014F45">
      <w:pPr>
        <w:adjustRightInd w:val="0"/>
        <w:spacing w:line="58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014F45">
        <w:rPr>
          <w:rFonts w:ascii="Times New Roman" w:eastAsia="仿宋_GB2312" w:hAnsi="Times New Roman" w:cs="Times New Roman"/>
          <w:b/>
          <w:bCs/>
          <w:sz w:val="32"/>
          <w:szCs w:val="32"/>
        </w:rPr>
        <w:t>1</w:t>
      </w:r>
      <w:r w:rsidRPr="00014F45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．量子信息。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紧盯全球量子信息科技前沿，保持量子信息产业国际竞争优势和全国首位优势。聚焦量子保密通信、量子计算、量子精密测量三大方向，依托“一室一院三平台”，加强产学研协同和成果转化，大力</w:t>
      </w:r>
      <w:proofErr w:type="gramStart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培</w:t>
      </w:r>
      <w:proofErr w:type="gramEnd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引上下游企业。实施长三角量子通信城际干线网络、“量超融合”计算平台等重大工程，为企业“量身定制”更多示范应用场景。</w:t>
      </w:r>
    </w:p>
    <w:p w14:paraId="21E68A24" w14:textId="77777777" w:rsidR="00014F45" w:rsidRPr="00014F45" w:rsidRDefault="00014F45" w:rsidP="00014F45">
      <w:pPr>
        <w:adjustRightInd w:val="0"/>
        <w:spacing w:line="58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014F45">
        <w:rPr>
          <w:rFonts w:ascii="Times New Roman" w:eastAsia="仿宋_GB2312" w:hAnsi="Times New Roman" w:cs="Times New Roman"/>
          <w:b/>
          <w:bCs/>
          <w:sz w:val="32"/>
          <w:szCs w:val="32"/>
        </w:rPr>
        <w:t>2</w:t>
      </w:r>
      <w:r w:rsidRPr="00014F45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．空天技术。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围绕空天信息、</w:t>
      </w:r>
      <w:proofErr w:type="gramStart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低空经济</w:t>
      </w:r>
      <w:proofErr w:type="gramEnd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两大领域，聚力打造“中国星城”，加快构建</w:t>
      </w:r>
      <w:proofErr w:type="gramStart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低空经济</w:t>
      </w:r>
      <w:proofErr w:type="gramEnd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产业生态圈。依托深空探测实验室，推进星座体系建设，加快培育引进一批研发、制造和配套企业，丰富卫星通信、导航、遥感应用生态。依托国际先进技术应用推进中心，率先建成“全空间”无人体系，探索“全市域”无人系统示范应用和商业化模式，积极培育引进无人机、无人车、电动垂直起降（</w:t>
      </w:r>
      <w:r w:rsidRPr="00014F45">
        <w:rPr>
          <w:rFonts w:ascii="Times New Roman" w:eastAsia="仿宋_GB2312" w:hAnsi="Times New Roman" w:cs="Times New Roman"/>
          <w:sz w:val="32"/>
          <w:szCs w:val="32"/>
        </w:rPr>
        <w:t>eVTOL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）飞行器等“全链条”上下游企业。</w:t>
      </w:r>
    </w:p>
    <w:p w14:paraId="244E3F47" w14:textId="77777777" w:rsidR="00014F45" w:rsidRPr="00014F45" w:rsidRDefault="00014F45" w:rsidP="00014F45">
      <w:pPr>
        <w:adjustRightInd w:val="0"/>
        <w:spacing w:line="58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014F45">
        <w:rPr>
          <w:rFonts w:ascii="Times New Roman" w:eastAsia="仿宋_GB2312" w:hAnsi="Times New Roman" w:cs="Times New Roman"/>
          <w:b/>
          <w:bCs/>
          <w:sz w:val="32"/>
          <w:szCs w:val="32"/>
        </w:rPr>
        <w:t>3</w:t>
      </w:r>
      <w:r w:rsidRPr="00014F45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．聚变能源。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对</w:t>
      </w:r>
      <w:proofErr w:type="gramStart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标国际</w:t>
      </w:r>
      <w:proofErr w:type="gramEnd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领先水平，实施聚变</w:t>
      </w:r>
      <w:proofErr w:type="gramStart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能商业</w:t>
      </w:r>
      <w:proofErr w:type="gramEnd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应用行动计划，有效聚合一批上下游企业，持续巩固国内产业链生态主导地位。加快高温超导磁体等前沿技术“沿途下蛋”，形成聚变</w:t>
      </w:r>
      <w:proofErr w:type="gramStart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能商业</w:t>
      </w:r>
      <w:proofErr w:type="gramEnd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发电为主、若干衍生转化产业为辅的“</w:t>
      </w:r>
      <w:r w:rsidRPr="00014F45">
        <w:rPr>
          <w:rFonts w:ascii="Times New Roman" w:eastAsia="仿宋_GB2312" w:hAnsi="Times New Roman" w:cs="Times New Roman"/>
          <w:sz w:val="32"/>
          <w:szCs w:val="32"/>
        </w:rPr>
        <w:t>1</w:t>
      </w:r>
      <w:r w:rsidRPr="00014F45">
        <w:rPr>
          <w:rFonts w:ascii="Times New Roman" w:eastAsia="汉仪细圆B5" w:hAnsi="Times New Roman" w:cs="Times New Roman" w:hint="eastAsia"/>
          <w:sz w:val="32"/>
          <w:szCs w:val="32"/>
        </w:rPr>
        <w:t>＋</w:t>
      </w:r>
      <w:r w:rsidRPr="00014F45">
        <w:rPr>
          <w:rFonts w:ascii="Times New Roman" w:eastAsia="仿宋_GB2312" w:hAnsi="Times New Roman" w:cs="Times New Roman"/>
          <w:sz w:val="32"/>
          <w:szCs w:val="32"/>
        </w:rPr>
        <w:t>N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”聚变能源产业格局。</w:t>
      </w:r>
    </w:p>
    <w:p w14:paraId="68DE431C" w14:textId="77777777" w:rsidR="00014F45" w:rsidRPr="00014F45" w:rsidRDefault="00014F45" w:rsidP="00014F45">
      <w:pPr>
        <w:adjustRightInd w:val="0"/>
        <w:spacing w:line="58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014F45">
        <w:rPr>
          <w:rFonts w:ascii="Times New Roman" w:eastAsia="仿宋_GB2312" w:hAnsi="Times New Roman" w:cs="Times New Roman"/>
          <w:b/>
          <w:bCs/>
          <w:sz w:val="32"/>
          <w:szCs w:val="32"/>
        </w:rPr>
        <w:lastRenderedPageBreak/>
        <w:t>4</w:t>
      </w:r>
      <w:r w:rsidRPr="00014F45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．下一代人工智能。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围绕打造国内一流的通用人工智能创新生态，实施“通用人工智能</w:t>
      </w:r>
      <w:r w:rsidRPr="00014F45">
        <w:rPr>
          <w:rFonts w:ascii="Times New Roman" w:eastAsia="汉仪细圆B5" w:hAnsi="Times New Roman" w:cs="Times New Roman" w:hint="eastAsia"/>
          <w:sz w:val="32"/>
          <w:szCs w:val="32"/>
        </w:rPr>
        <w:t>＋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”发展计划，促进通用人工智能向千行百业渗透融合。联合行业龙头企业开展国产化软硬件一体化攻关，构筑通用智能底座。开展类脑多模态、</w:t>
      </w:r>
      <w:proofErr w:type="gramStart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多脑区</w:t>
      </w:r>
      <w:proofErr w:type="gramEnd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协同、柔性</w:t>
      </w:r>
      <w:proofErr w:type="gramStart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脑机接口</w:t>
      </w:r>
      <w:proofErr w:type="gramEnd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等类脑智能技术攻关，稳妥</w:t>
      </w:r>
      <w:proofErr w:type="gramStart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推进脑机融合</w:t>
      </w:r>
      <w:proofErr w:type="gramEnd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技术多场景应用。</w:t>
      </w:r>
    </w:p>
    <w:p w14:paraId="31C16B7B" w14:textId="77777777" w:rsidR="00014F45" w:rsidRPr="00014F45" w:rsidRDefault="00014F45" w:rsidP="00014F45">
      <w:pPr>
        <w:adjustRightInd w:val="0"/>
        <w:spacing w:line="58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 w:rsidRPr="00014F45">
        <w:rPr>
          <w:rFonts w:ascii="Times New Roman" w:eastAsia="仿宋_GB2312" w:hAnsi="Times New Roman" w:cs="Times New Roman"/>
          <w:b/>
          <w:bCs/>
          <w:sz w:val="32"/>
          <w:szCs w:val="32"/>
        </w:rPr>
        <w:t>5</w:t>
      </w:r>
      <w:r w:rsidRPr="00014F45"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．合成生物。</w:t>
      </w:r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围绕构建国内一流的合成生物技术创新和应用生态高地，强化顶层设计，以生物医药、工业催化、</w:t>
      </w:r>
      <w:proofErr w:type="gramStart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环保降碳等</w:t>
      </w:r>
      <w:proofErr w:type="gramEnd"/>
      <w:r w:rsidRPr="00014F45">
        <w:rPr>
          <w:rFonts w:ascii="Times New Roman" w:eastAsia="仿宋_GB2312" w:hAnsi="Times New Roman" w:cs="Times New Roman" w:hint="eastAsia"/>
          <w:sz w:val="32"/>
          <w:szCs w:val="32"/>
        </w:rPr>
        <w:t>领域应用需求为牵引，加快转化培育一批核心技术企业，形成先发集聚优势。</w:t>
      </w:r>
    </w:p>
    <w:p w14:paraId="64450D25" w14:textId="77777777" w:rsidR="00014F45" w:rsidRPr="00014F45" w:rsidRDefault="00014F45" w:rsidP="00014F45">
      <w:pPr>
        <w:adjustRightInd w:val="0"/>
        <w:spacing w:line="580" w:lineRule="exact"/>
        <w:ind w:firstLineChars="200" w:firstLine="643"/>
        <w:rPr>
          <w:rFonts w:ascii="Times New Roman" w:eastAsia="楷体_GB2312" w:hAnsi="Times New Roman" w:cs="Times New Roman"/>
          <w:b/>
          <w:sz w:val="32"/>
          <w:szCs w:val="32"/>
        </w:rPr>
      </w:pPr>
      <w:r w:rsidRPr="00014F45">
        <w:rPr>
          <w:rFonts w:ascii="Times New Roman" w:eastAsia="楷体_GB2312" w:hAnsi="Times New Roman" w:cs="Times New Roman" w:hint="eastAsia"/>
          <w:b/>
          <w:sz w:val="32"/>
          <w:szCs w:val="32"/>
        </w:rPr>
        <w:t>（三）统筹发展现代农业和现代服务业</w:t>
      </w:r>
    </w:p>
    <w:p w14:paraId="48163EE0" w14:textId="77777777" w:rsidR="00014F45" w:rsidRPr="00014F45" w:rsidRDefault="00014F45" w:rsidP="00014F45">
      <w:pPr>
        <w:adjustRightInd w:val="0"/>
        <w:spacing w:line="580" w:lineRule="exact"/>
        <w:ind w:firstLineChars="200" w:firstLine="643"/>
        <w:rPr>
          <w:rFonts w:ascii="Times New Roman" w:eastAsia="仿宋_GB2312" w:hAnsi="Times New Roman" w:cs="Times New Roman"/>
          <w:bCs/>
          <w:sz w:val="32"/>
          <w:szCs w:val="32"/>
        </w:rPr>
      </w:pPr>
      <w:r w:rsidRPr="00014F45">
        <w:rPr>
          <w:rFonts w:ascii="Times New Roman" w:eastAsia="仿宋_GB2312" w:hAnsi="Times New Roman" w:cs="Times New Roman"/>
          <w:b/>
          <w:sz w:val="32"/>
          <w:szCs w:val="32"/>
          <w:lang w:val="en"/>
        </w:rPr>
        <w:t>1</w:t>
      </w:r>
      <w:r w:rsidRPr="00014F45">
        <w:rPr>
          <w:rFonts w:ascii="Times New Roman" w:eastAsia="仿宋_GB2312" w:hAnsi="Times New Roman" w:cs="Times New Roman" w:hint="eastAsia"/>
          <w:b/>
          <w:sz w:val="32"/>
          <w:szCs w:val="32"/>
          <w:lang w:val="en"/>
        </w:rPr>
        <w:t>．</w:t>
      </w:r>
      <w:r w:rsidRPr="00014F45">
        <w:rPr>
          <w:rFonts w:ascii="Times New Roman" w:eastAsia="仿宋_GB2312" w:hAnsi="Times New Roman" w:cs="Times New Roman" w:hint="eastAsia"/>
          <w:b/>
          <w:sz w:val="32"/>
          <w:szCs w:val="32"/>
        </w:rPr>
        <w:t>现代农业。</w:t>
      </w:r>
      <w:r w:rsidRPr="00014F45">
        <w:rPr>
          <w:rFonts w:ascii="Times New Roman" w:eastAsia="仿宋_GB2312" w:hAnsi="Times New Roman" w:cs="Times New Roman" w:hint="eastAsia"/>
          <w:bCs/>
          <w:sz w:val="32"/>
          <w:szCs w:val="32"/>
        </w:rPr>
        <w:t>围绕打造全国有重要影响力的绿色食品及现代种</w:t>
      </w:r>
      <w:proofErr w:type="gramStart"/>
      <w:r w:rsidRPr="00014F45">
        <w:rPr>
          <w:rFonts w:ascii="Times New Roman" w:eastAsia="仿宋_GB2312" w:hAnsi="Times New Roman" w:cs="Times New Roman" w:hint="eastAsia"/>
          <w:bCs/>
          <w:sz w:val="32"/>
          <w:szCs w:val="32"/>
        </w:rPr>
        <w:t>业产业</w:t>
      </w:r>
      <w:proofErr w:type="gramEnd"/>
      <w:r w:rsidRPr="00014F45">
        <w:rPr>
          <w:rFonts w:ascii="Times New Roman" w:eastAsia="仿宋_GB2312" w:hAnsi="Times New Roman" w:cs="Times New Roman" w:hint="eastAsia"/>
          <w:bCs/>
          <w:sz w:val="32"/>
          <w:szCs w:val="32"/>
        </w:rPr>
        <w:t>千亿集群，做好“农头工尾”、“粮头食尾”、“畜头肉尾”增值文章，重点发展粮食、蔬菜、生猪、家禽、龙虾、草莓、种子、奶业八大百亿产业链。巩固提升粮食综合生产能力和优质农产品供给能力，积极发展设施农业和田头冷链。加快“种业之都”建设，依托生物育种安徽省实验室和智慧农业谷、中国菌物谷等创新平台优势，攻克基因编辑、精准育种等关键技术，培育更多种业优质新品和上市企业。做精做深农产品加工业，加快布局发展预制菜、宠物经济、休闲食品、农村电商等新赛道，打响一批“合”字号品牌，大力培育百亿级龙头企业。深化</w:t>
      </w:r>
      <w:proofErr w:type="gramStart"/>
      <w:r w:rsidRPr="00014F45">
        <w:rPr>
          <w:rFonts w:ascii="Times New Roman" w:eastAsia="仿宋_GB2312" w:hAnsi="Times New Roman" w:cs="Times New Roman" w:hint="eastAsia"/>
          <w:bCs/>
          <w:sz w:val="32"/>
          <w:szCs w:val="32"/>
        </w:rPr>
        <w:t>农文旅融合</w:t>
      </w:r>
      <w:proofErr w:type="gramEnd"/>
      <w:r w:rsidRPr="00014F45">
        <w:rPr>
          <w:rFonts w:ascii="Times New Roman" w:eastAsia="仿宋_GB2312" w:hAnsi="Times New Roman" w:cs="Times New Roman" w:hint="eastAsia"/>
          <w:bCs/>
          <w:sz w:val="32"/>
          <w:szCs w:val="32"/>
        </w:rPr>
        <w:t>发展，建设一批乡村旅游精品路线和目的地。</w:t>
      </w:r>
    </w:p>
    <w:p w14:paraId="1876E993" w14:textId="77777777" w:rsidR="00014F45" w:rsidRPr="00014F45" w:rsidRDefault="00014F45" w:rsidP="00014F45">
      <w:pPr>
        <w:spacing w:line="600" w:lineRule="exact"/>
        <w:ind w:firstLineChars="200" w:firstLine="643"/>
        <w:rPr>
          <w:rFonts w:ascii="Times New Roman" w:eastAsia="黑体" w:hAnsi="Times New Roman" w:cs="Times New Roman"/>
          <w:sz w:val="32"/>
          <w:szCs w:val="32"/>
        </w:rPr>
      </w:pPr>
      <w:r w:rsidRPr="00014F45">
        <w:rPr>
          <w:rFonts w:ascii="Times New Roman" w:eastAsia="仿宋_GB2312" w:hAnsi="Times New Roman" w:cs="Times New Roman"/>
          <w:b/>
          <w:sz w:val="32"/>
          <w:szCs w:val="32"/>
          <w:lang w:val="en"/>
        </w:rPr>
        <w:t>2</w:t>
      </w:r>
      <w:r w:rsidRPr="00014F45">
        <w:rPr>
          <w:rFonts w:ascii="Times New Roman" w:eastAsia="仿宋_GB2312" w:hAnsi="Times New Roman" w:cs="Times New Roman" w:hint="eastAsia"/>
          <w:b/>
          <w:sz w:val="32"/>
          <w:szCs w:val="32"/>
          <w:lang w:val="en"/>
        </w:rPr>
        <w:t>．</w:t>
      </w:r>
      <w:r w:rsidRPr="00014F45">
        <w:rPr>
          <w:rFonts w:ascii="Times New Roman" w:eastAsia="仿宋_GB2312" w:hAnsi="Times New Roman" w:cs="Times New Roman" w:hint="eastAsia"/>
          <w:b/>
          <w:sz w:val="32"/>
          <w:szCs w:val="32"/>
        </w:rPr>
        <w:t>现代服务业。</w:t>
      </w:r>
      <w:r w:rsidRPr="00014F45">
        <w:rPr>
          <w:rFonts w:ascii="Times New Roman" w:eastAsia="仿宋_GB2312" w:hAnsi="Times New Roman" w:cs="Times New Roman" w:hint="eastAsia"/>
          <w:bCs/>
          <w:sz w:val="32"/>
          <w:szCs w:val="32"/>
        </w:rPr>
        <w:t>围绕建设长三角新兴服务业中心，高标</w:t>
      </w:r>
      <w:r w:rsidRPr="00014F45">
        <w:rPr>
          <w:rFonts w:ascii="Times New Roman" w:eastAsia="仿宋_GB2312" w:hAnsi="Times New Roman" w:cs="Times New Roman" w:hint="eastAsia"/>
          <w:bCs/>
          <w:sz w:val="32"/>
          <w:szCs w:val="32"/>
        </w:rPr>
        <w:lastRenderedPageBreak/>
        <w:t>准打造虹桥国际开放枢纽合肥联动发展区，以战新产业、高端人才和品质生活需求为牵引，优化供给体系，提升服务能力，创新业态模式，梯次打造一批高品质现代服务业集聚区。生产性服务业，突出专业化和价值链高端延伸发展，加快自贸试验区、创新法</w:t>
      </w:r>
      <w:proofErr w:type="gramStart"/>
      <w:r w:rsidRPr="00014F45">
        <w:rPr>
          <w:rFonts w:ascii="Times New Roman" w:eastAsia="仿宋_GB2312" w:hAnsi="Times New Roman" w:cs="Times New Roman" w:hint="eastAsia"/>
          <w:bCs/>
          <w:sz w:val="32"/>
          <w:szCs w:val="32"/>
        </w:rPr>
        <w:t>务</w:t>
      </w:r>
      <w:proofErr w:type="gramEnd"/>
      <w:r w:rsidRPr="00014F45">
        <w:rPr>
          <w:rFonts w:ascii="Times New Roman" w:eastAsia="仿宋_GB2312" w:hAnsi="Times New Roman" w:cs="Times New Roman" w:hint="eastAsia"/>
          <w:bCs/>
          <w:sz w:val="32"/>
          <w:szCs w:val="32"/>
        </w:rPr>
        <w:t>区、跨境</w:t>
      </w:r>
      <w:proofErr w:type="gramStart"/>
      <w:r w:rsidRPr="00014F45">
        <w:rPr>
          <w:rFonts w:ascii="Times New Roman" w:eastAsia="仿宋_GB2312" w:hAnsi="Times New Roman" w:cs="Times New Roman" w:hint="eastAsia"/>
          <w:bCs/>
          <w:sz w:val="32"/>
          <w:szCs w:val="32"/>
        </w:rPr>
        <w:t>电商综试区</w:t>
      </w:r>
      <w:proofErr w:type="gramEnd"/>
      <w:r w:rsidRPr="00014F45">
        <w:rPr>
          <w:rFonts w:ascii="Times New Roman" w:eastAsia="仿宋_GB2312" w:hAnsi="Times New Roman" w:cs="Times New Roman" w:hint="eastAsia"/>
          <w:bCs/>
          <w:sz w:val="32"/>
          <w:szCs w:val="32"/>
        </w:rPr>
        <w:t>和金融后台服务基地建设，积极培育招引数字创意、工业设计、涉外法律、咨询评估、会计审计、高端猎头、知识产权、检测认证、贸易会展等细分领域龙头企业。生活性服务业，突出高品质和多样化升级发展，加快</w:t>
      </w:r>
      <w:proofErr w:type="gramStart"/>
      <w:r w:rsidRPr="00014F45">
        <w:rPr>
          <w:rFonts w:ascii="Times New Roman" w:eastAsia="仿宋_GB2312" w:hAnsi="Times New Roman" w:cs="Times New Roman" w:hint="eastAsia"/>
          <w:bCs/>
          <w:sz w:val="32"/>
          <w:szCs w:val="32"/>
        </w:rPr>
        <w:t>拓展首店消费</w:t>
      </w:r>
      <w:proofErr w:type="gramEnd"/>
      <w:r w:rsidRPr="00014F45">
        <w:rPr>
          <w:rFonts w:ascii="Times New Roman" w:eastAsia="仿宋_GB2312" w:hAnsi="Times New Roman" w:cs="Times New Roman" w:hint="eastAsia"/>
          <w:bCs/>
          <w:sz w:val="32"/>
          <w:szCs w:val="32"/>
        </w:rPr>
        <w:t>、夜间消费、体验消费、</w:t>
      </w:r>
      <w:proofErr w:type="gramStart"/>
      <w:r w:rsidRPr="00014F45">
        <w:rPr>
          <w:rFonts w:ascii="Times New Roman" w:eastAsia="仿宋_GB2312" w:hAnsi="Times New Roman" w:cs="Times New Roman" w:hint="eastAsia"/>
          <w:bCs/>
          <w:sz w:val="32"/>
          <w:szCs w:val="32"/>
        </w:rPr>
        <w:t>网红消费</w:t>
      </w:r>
      <w:proofErr w:type="gramEnd"/>
      <w:r w:rsidRPr="00014F45">
        <w:rPr>
          <w:rFonts w:ascii="Times New Roman" w:eastAsia="仿宋_GB2312" w:hAnsi="Times New Roman" w:cs="Times New Roman" w:hint="eastAsia"/>
          <w:bCs/>
          <w:sz w:val="32"/>
          <w:szCs w:val="32"/>
        </w:rPr>
        <w:t>、便民消费等领域新</w:t>
      </w:r>
      <w:proofErr w:type="gramStart"/>
      <w:r w:rsidRPr="00014F45">
        <w:rPr>
          <w:rFonts w:ascii="Times New Roman" w:eastAsia="仿宋_GB2312" w:hAnsi="Times New Roman" w:cs="Times New Roman" w:hint="eastAsia"/>
          <w:bCs/>
          <w:sz w:val="32"/>
          <w:szCs w:val="32"/>
        </w:rPr>
        <w:t>业态新模式</w:t>
      </w:r>
      <w:proofErr w:type="gramEnd"/>
      <w:r w:rsidRPr="00014F45">
        <w:rPr>
          <w:rFonts w:ascii="Times New Roman" w:eastAsia="仿宋_GB2312" w:hAnsi="Times New Roman" w:cs="Times New Roman" w:hint="eastAsia"/>
          <w:bCs/>
          <w:sz w:val="32"/>
          <w:szCs w:val="32"/>
        </w:rPr>
        <w:t>，打造一批</w:t>
      </w:r>
      <w:proofErr w:type="gramStart"/>
      <w:r w:rsidRPr="00014F45">
        <w:rPr>
          <w:rFonts w:ascii="Times New Roman" w:eastAsia="仿宋_GB2312" w:hAnsi="Times New Roman" w:cs="Times New Roman" w:hint="eastAsia"/>
          <w:bCs/>
          <w:sz w:val="32"/>
          <w:szCs w:val="32"/>
        </w:rPr>
        <w:t>高端商</w:t>
      </w:r>
      <w:proofErr w:type="gramEnd"/>
      <w:r w:rsidRPr="00014F45">
        <w:rPr>
          <w:rFonts w:ascii="Times New Roman" w:eastAsia="仿宋_GB2312" w:hAnsi="Times New Roman" w:cs="Times New Roman" w:hint="eastAsia"/>
          <w:bCs/>
          <w:sz w:val="32"/>
          <w:szCs w:val="32"/>
        </w:rPr>
        <w:t>圈和创新消费场景。围绕建设区域性文</w:t>
      </w:r>
      <w:proofErr w:type="gramStart"/>
      <w:r w:rsidRPr="00014F45">
        <w:rPr>
          <w:rFonts w:ascii="Times New Roman" w:eastAsia="仿宋_GB2312" w:hAnsi="Times New Roman" w:cs="Times New Roman" w:hint="eastAsia"/>
          <w:bCs/>
          <w:sz w:val="32"/>
          <w:szCs w:val="32"/>
        </w:rPr>
        <w:t>创产业</w:t>
      </w:r>
      <w:proofErr w:type="gramEnd"/>
      <w:r w:rsidRPr="00014F45">
        <w:rPr>
          <w:rFonts w:ascii="Times New Roman" w:eastAsia="仿宋_GB2312" w:hAnsi="Times New Roman" w:cs="Times New Roman" w:hint="eastAsia"/>
          <w:bCs/>
          <w:sz w:val="32"/>
          <w:szCs w:val="32"/>
        </w:rPr>
        <w:t>中心城市，重点培育引进高精尖文化装备、数字新媒体、沉浸式体验等新兴文化领域企业，打造一批百亿级文</w:t>
      </w:r>
      <w:proofErr w:type="gramStart"/>
      <w:r w:rsidRPr="00014F45">
        <w:rPr>
          <w:rFonts w:ascii="Times New Roman" w:eastAsia="仿宋_GB2312" w:hAnsi="Times New Roman" w:cs="Times New Roman" w:hint="eastAsia"/>
          <w:bCs/>
          <w:sz w:val="32"/>
          <w:szCs w:val="32"/>
        </w:rPr>
        <w:t>创产业</w:t>
      </w:r>
      <w:proofErr w:type="gramEnd"/>
      <w:r w:rsidRPr="00014F45">
        <w:rPr>
          <w:rFonts w:ascii="Times New Roman" w:eastAsia="仿宋_GB2312" w:hAnsi="Times New Roman" w:cs="Times New Roman" w:hint="eastAsia"/>
          <w:bCs/>
          <w:sz w:val="32"/>
          <w:szCs w:val="32"/>
        </w:rPr>
        <w:t>集聚区。加快国际化试点片区建设，谋划建设一批国际人才社区、国际医院、国际学校和国际化特色街区，持续提升城市国际化水平。</w:t>
      </w:r>
    </w:p>
    <w:p w14:paraId="7572FAC8" w14:textId="7A2A9D0B" w:rsidR="00A8568F" w:rsidRPr="00014F45" w:rsidRDefault="00A8568F" w:rsidP="00A8568F">
      <w:pPr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</w:p>
    <w:sectPr w:rsidR="00A8568F" w:rsidRPr="00014F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1384C6" w14:textId="77777777" w:rsidR="00FB09BE" w:rsidRDefault="00FB09BE" w:rsidP="006B1A43">
      <w:r>
        <w:separator/>
      </w:r>
    </w:p>
  </w:endnote>
  <w:endnote w:type="continuationSeparator" w:id="0">
    <w:p w14:paraId="55A04914" w14:textId="77777777" w:rsidR="00FB09BE" w:rsidRDefault="00FB09BE" w:rsidP="006B1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汉仪细圆B5">
    <w:altName w:val="仿宋"/>
    <w:charset w:val="88"/>
    <w:family w:val="auto"/>
    <w:pitch w:val="default"/>
    <w:sig w:usb0="00000001" w:usb1="080E0800" w:usb2="00000002" w:usb3="00000000" w:csb0="0010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873BBD" w14:textId="77777777" w:rsidR="00FB09BE" w:rsidRDefault="00FB09BE" w:rsidP="006B1A43">
      <w:r>
        <w:separator/>
      </w:r>
    </w:p>
  </w:footnote>
  <w:footnote w:type="continuationSeparator" w:id="0">
    <w:p w14:paraId="2C35A04E" w14:textId="77777777" w:rsidR="00FB09BE" w:rsidRDefault="00FB09BE" w:rsidP="006B1A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2U3MDcxZWQwZmViMGEyZjdlNzA4Mjc3MmRhNzIzMDUifQ=="/>
  </w:docVars>
  <w:rsids>
    <w:rsidRoot w:val="2FCE0F61"/>
    <w:rsid w:val="EEBF8EF8"/>
    <w:rsid w:val="FF96177A"/>
    <w:rsid w:val="FFD4BEF2"/>
    <w:rsid w:val="FFFF941E"/>
    <w:rsid w:val="00014F45"/>
    <w:rsid w:val="000B5FCB"/>
    <w:rsid w:val="000E4086"/>
    <w:rsid w:val="001561CA"/>
    <w:rsid w:val="002256DC"/>
    <w:rsid w:val="00422245"/>
    <w:rsid w:val="00471368"/>
    <w:rsid w:val="005F07DF"/>
    <w:rsid w:val="006044E7"/>
    <w:rsid w:val="00647E91"/>
    <w:rsid w:val="006A6125"/>
    <w:rsid w:val="006B1A43"/>
    <w:rsid w:val="00826347"/>
    <w:rsid w:val="00844357"/>
    <w:rsid w:val="008A43CC"/>
    <w:rsid w:val="009154B2"/>
    <w:rsid w:val="009C5A41"/>
    <w:rsid w:val="00A059F2"/>
    <w:rsid w:val="00A8568F"/>
    <w:rsid w:val="00AC0A76"/>
    <w:rsid w:val="00B47E94"/>
    <w:rsid w:val="00C84E8C"/>
    <w:rsid w:val="00D2290E"/>
    <w:rsid w:val="00DE6BFC"/>
    <w:rsid w:val="00E4043C"/>
    <w:rsid w:val="00E95EEF"/>
    <w:rsid w:val="00F347E6"/>
    <w:rsid w:val="00F61322"/>
    <w:rsid w:val="00FB09BE"/>
    <w:rsid w:val="00FD27BB"/>
    <w:rsid w:val="2FCE0F61"/>
    <w:rsid w:val="3F7FB9CB"/>
    <w:rsid w:val="6FFEEEF2"/>
    <w:rsid w:val="6FFF3DC0"/>
    <w:rsid w:val="746558D4"/>
    <w:rsid w:val="7E1B34B4"/>
    <w:rsid w:val="7E73C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0D2A7F"/>
  <w15:docId w15:val="{18DC8E5A-14B7-4535-97FD-0C6C2BF1E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qFormat/>
    <w:pPr>
      <w:ind w:firstLineChars="100" w:firstLine="420"/>
    </w:pPr>
  </w:style>
  <w:style w:type="paragraph" w:styleId="a4">
    <w:name w:val="Body Text"/>
    <w:basedOn w:val="a"/>
    <w:qFormat/>
    <w:pPr>
      <w:spacing w:after="120"/>
    </w:p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BodyTextIndent2">
    <w:name w:val="BodyTextIndent2"/>
    <w:qFormat/>
    <w:pPr>
      <w:suppressAutoHyphens/>
      <w:spacing w:after="120" w:line="480" w:lineRule="auto"/>
      <w:ind w:leftChars="200" w:left="200"/>
    </w:pPr>
    <w:rPr>
      <w:kern w:val="2"/>
      <w:sz w:val="24"/>
      <w:szCs w:val="24"/>
    </w:rPr>
  </w:style>
  <w:style w:type="character" w:customStyle="1" w:styleId="a8">
    <w:name w:val="页眉 字符"/>
    <w:basedOn w:val="a1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1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73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</Pages>
  <Words>672</Words>
  <Characters>3837</Characters>
  <Application>Microsoft Office Word</Application>
  <DocSecurity>0</DocSecurity>
  <Lines>31</Lines>
  <Paragraphs>8</Paragraphs>
  <ScaleCrop>false</ScaleCrop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郭仁辉</cp:lastModifiedBy>
  <cp:revision>6</cp:revision>
  <dcterms:created xsi:type="dcterms:W3CDTF">2024-04-24T01:59:00Z</dcterms:created>
  <dcterms:modified xsi:type="dcterms:W3CDTF">2024-04-25T01:03:00Z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2052-11.8.2.1131</vt:lpwstr>
  </property>
  <property fmtid="{D5CDD505-2E9C-101B-9397-08002B2CF9AE}" pid="3" name="ICV">
    <vt:lpwstr>84D0B46B0F8ACDDA264FB7651F0F6DE1</vt:lpwstr>
  </property>
</Properties>
</file>